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
      </w:pPr>
      <w:r>
        <w:rPr>
          <w:rFonts w:ascii="Ubuntu" w:cs="Ubuntu" w:eastAsia="Ubuntu" w:hAnsi="Ubuntu"/>
          <w:b/>
          <w:bCs/>
          <w:color w:val="000000"/>
          <w:sz w:val="40"/>
          <w:szCs w:val="40"/>
        </w:rPr>
        <w:t xml:space="preserve">ABAI Community Website - Proposal</w:t>
      </w:r>
    </w:p>
    <w:p>
      <w:pPr>
        <w:spacing w:after="280" w:before="0"/>
      </w:pPr>
      <w:r>
        <w:rPr>
          <w:rFonts w:ascii="Nunito" w:cs="Nunito" w:eastAsia="Nunito" w:hAnsi="Nunito"/>
          <w:sz w:val="24"/>
          <w:szCs w:val="24"/>
        </w:rPr>
        <w:t xml:space="preserve">A Custom Software Solution by Riseup Asia LLC</w:t>
      </w:r>
    </w:p>
    <w:p>
      <w:pPr>
        <w:spacing w:after="40" w:before="0"/>
      </w:pPr>
      <w:r>
        <w:rPr>
          <w:rFonts w:ascii="Nunito" w:cs="Nunito" w:eastAsia="Nunito" w:hAnsi="Nunito"/>
          <w:b/>
          <w:bCs/>
          <w:sz w:val="22"/>
          <w:szCs w:val="22"/>
        </w:rPr>
        <w:t xml:space="preserve">Submitted to:</w:t>
      </w:r>
      <w:r>
        <w:rPr>
          <w:rFonts w:ascii="Nunito" w:cs="Nunito" w:eastAsia="Nunito" w:hAnsi="Nunito"/>
          <w:sz w:val="22"/>
          <w:szCs w:val="22"/>
        </w:rPr>
        <w:t xml:space="preserve"> All Bangladeshi Association of Ireland (ABAI)</w:t>
      </w:r>
    </w:p>
    <w:p>
      <w:pPr>
        <w:spacing w:after="40" w:before="0"/>
      </w:pPr>
      <w:r>
        <w:rPr>
          <w:rFonts w:ascii="Nunito" w:cs="Nunito" w:eastAsia="Nunito" w:hAnsi="Nunito"/>
          <w:b/>
          <w:bCs/>
          <w:sz w:val="22"/>
          <w:szCs w:val="22"/>
        </w:rPr>
        <w:t xml:space="preserve">Attn:</w:t>
      </w:r>
      <w:r>
        <w:rPr>
          <w:rFonts w:ascii="Nunito" w:cs="Nunito" w:eastAsia="Nunito" w:hAnsi="Nunito"/>
          <w:sz w:val="22"/>
          <w:szCs w:val="22"/>
        </w:rPr>
        <w:t xml:space="preserve"> Shafayet Onay, IT Secretary</w:t>
      </w:r>
    </w:p>
    <w:p>
      <w:pPr>
        <w:spacing w:after="40" w:before="0"/>
      </w:pPr>
      <w:r>
        <w:rPr>
          <w:rFonts w:ascii="Nunito" w:cs="Nunito" w:eastAsia="Nunito" w:hAnsi="Nunito"/>
          <w:b/>
          <w:bCs/>
          <w:sz w:val="22"/>
          <w:szCs w:val="22"/>
        </w:rPr>
        <w:t xml:space="preserve">Submitted by:</w:t>
      </w:r>
      <w:r>
        <w:rPr>
          <w:rFonts w:ascii="Nunito" w:cs="Nunito" w:eastAsia="Nunito" w:hAnsi="Nunito"/>
          <w:sz w:val="22"/>
          <w:szCs w:val="22"/>
        </w:rPr>
        <w:t xml:space="preserve"> Riseup Asia LLC</w:t>
      </w:r>
    </w:p>
    <w:p>
      <w:pPr>
        <w:spacing w:after="40" w:before="0"/>
      </w:pPr>
      <w:r>
        <w:rPr>
          <w:rFonts w:ascii="Nunito" w:cs="Nunito" w:eastAsia="Nunito" w:hAnsi="Nunito"/>
          <w:b/>
          <w:bCs/>
          <w:sz w:val="22"/>
          <w:szCs w:val="22"/>
        </w:rPr>
        <w:t xml:space="preserve">Email:</w:t>
      </w:r>
      <w:r>
        <w:rPr>
          <w:rFonts w:ascii="Nunito" w:cs="Nunito" w:eastAsia="Nunito" w:hAnsi="Nunito"/>
          <w:sz w:val="22"/>
          <w:szCs w:val="22"/>
        </w:rPr>
        <w:t xml:space="preserve"> info@riseup-asia.com</w:t>
      </w:r>
    </w:p>
    <w:p>
      <w:pPr>
        <w:spacing w:after="40" w:before="0"/>
      </w:pPr>
      <w:r>
        <w:rPr>
          <w:rFonts w:ascii="Nunito" w:cs="Nunito" w:eastAsia="Nunito" w:hAnsi="Nunito"/>
          <w:b/>
          <w:bCs/>
          <w:sz w:val="22"/>
          <w:szCs w:val="22"/>
        </w:rPr>
        <w:t xml:space="preserve">Company profile:</w:t>
      </w:r>
      <w:r>
        <w:rPr>
          <w:rFonts w:ascii="Nunito" w:cs="Nunito" w:eastAsia="Nunito" w:hAnsi="Nunito"/>
          <w:sz w:val="22"/>
          <w:szCs w:val="22"/>
        </w:rPr>
        <w:t xml:space="preserve"> https://docs.rasia.pro/presentation-v1-9x</w:t>
      </w:r>
    </w:p>
    <w:p>
      <w:pPr>
        <w:spacing w:after="40" w:before="0"/>
      </w:pPr>
      <w:r>
        <w:rPr>
          <w:rFonts w:ascii="Nunito" w:cs="Nunito" w:eastAsia="Nunito" w:hAnsi="Nunito"/>
          <w:b/>
          <w:bCs/>
          <w:sz w:val="22"/>
          <w:szCs w:val="22"/>
        </w:rPr>
        <w:t xml:space="preserve">Date:</w:t>
      </w:r>
      <w:r>
        <w:rPr>
          <w:rFonts w:ascii="Nunito" w:cs="Nunito" w:eastAsia="Nunito" w:hAnsi="Nunito"/>
          <w:sz w:val="22"/>
          <w:szCs w:val="22"/>
        </w:rPr>
        <w:t xml:space="preserve"> June 2026</w:t>
      </w:r>
    </w:p>
    <w:p>
      <w:pPr>
        <w:spacing w:after="40" w:before="0"/>
      </w:pPr>
      <w:r>
        <w:rPr>
          <w:rFonts w:ascii="Nunito" w:cs="Nunito" w:eastAsia="Nunito" w:hAnsi="Nunito"/>
          <w:b/>
          <w:bCs/>
          <w:sz w:val="22"/>
          <w:szCs w:val="22"/>
        </w:rPr>
        <w:t xml:space="preserve">Valid for:</w:t>
      </w:r>
      <w:r>
        <w:rPr>
          <w:rFonts w:ascii="Nunito" w:cs="Nunito" w:eastAsia="Nunito" w:hAnsi="Nunito"/>
          <w:sz w:val="22"/>
          <w:szCs w:val="22"/>
        </w:rPr>
        <w:t xml:space="preserve"> 60 days from submission</w:t>
      </w:r>
    </w:p>
    <w:p>
      <w:r>
        <w:br w:type="page"/>
      </w:r>
    </w:p>
    <w:p>
      <w:pPr>
        <w:pStyle w:val="Heading2"/>
        <w:keepNext/>
        <w:keepLines/>
        <w:spacing w:after="100" w:before="220"/>
      </w:pPr>
      <w:r>
        <w:t xml:space="preserve">1. Introduction</w:t>
      </w:r>
    </w:p>
    <w:p>
      <w:pPr>
        <w:spacing w:after="90" w:before="0"/>
      </w:pPr>
      <w:r>
        <w:rPr>
          <w:rFonts w:ascii="Nunito" w:cs="Nunito" w:eastAsia="Nunito" w:hAnsi="Nunito"/>
          <w:sz w:val="22"/>
          <w:szCs w:val="22"/>
        </w:rPr>
        <w:t xml:space="preserve">ABAI needs a website that does three jobs reliably: inform the community, take memberships and donations safely, and let the committee update content without touching code.</w:t>
      </w:r>
    </w:p>
    <w:p>
      <w:pPr>
        <w:spacing w:after="90" w:before="0"/>
      </w:pPr>
      <w:r>
        <w:rPr>
          <w:rFonts w:ascii="Nunito" w:cs="Nunito" w:eastAsia="Nunito" w:hAnsi="Nunito"/>
          <w:sz w:val="22"/>
          <w:szCs w:val="22"/>
        </w:rPr>
        <w:t xml:space="preserve">This proposal responds to ABAI's May 2026 RFP. Where the RFP is clear, we confirm delivery. Where a single line implies a feature whose true cost is multiples of the €5,000 budget, we say so and propose a scoped alternative so ABAI receives a finished product rather than a half-built one.</w:t>
      </w:r>
    </w:p>
    <w:p>
      <w:pPr>
        <w:pStyle w:val="Heading2"/>
        <w:keepNext/>
        <w:keepLines/>
        <w:spacing w:after="100" w:before="220"/>
      </w:pPr>
      <w:r>
        <w:t xml:space="preserve">2. Project Objectives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Objective</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Our Approach</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Central information hub</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Structured WordPress hub - see Section 3.1</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Employment platform</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Moderated jobs &amp; opportunities area - see Section 3.2</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Education platform</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Resource pages, class schedules, scholarship directory - see Section 3.3</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Online membership</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Forms, member records, admin workflows - see Section 3.4</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Fundraising &amp; payments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Stripe-only secure setup - see Section 3.4</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Irish/EU GDPR compliance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Complianz GDPR Premium plugin (ABAI-purchased)</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7</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English + Bangla support</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Unicode from day one; English-first chrome; dedicated </w:t>
            </w:r>
            <w:r>
              <w:rPr>
                <w:rFonts w:ascii="Courier New" w:cs="Courier New" w:eastAsia="Courier New" w:hAnsi="Courier New"/>
                <w:sz w:val="22"/>
                <w:szCs w:val="22"/>
              </w:rPr>
              <w:t xml:space="preserve">bn.abai.ie</w:t>
            </w:r>
            <w:r>
              <w:rPr>
                <w:rFonts w:ascii="Nunito" w:cs="Nunito" w:eastAsia="Nunito" w:hAnsi="Nunito"/>
                <w:sz w:val="22"/>
                <w:szCs w:val="22"/>
              </w:rPr>
              <w:t xml:space="preserve"> as Phase 2</w:t>
            </w:r>
          </w:p>
        </w:tc>
      </w:tr>
    </w:tbl>
    <w:p>
      <w:pPr>
        <w:spacing w:after="90" w:before="0"/>
      </w:pPr>
    </w:p>
    <w:p>
      <w:pPr>
        <w:pStyle w:val="Heading2"/>
        <w:keepNext/>
        <w:keepLines/>
        <w:spacing w:after="100" w:before="220"/>
      </w:pPr>
      <w:r>
        <w:t xml:space="preserve">3. Scope of Work</w:t>
      </w:r>
    </w:p>
    <w:p>
      <w:pPr>
        <w:spacing w:after="90" w:before="0"/>
      </w:pPr>
      <w:r>
        <w:rPr>
          <w:rFonts w:ascii="Nunito" w:cs="Nunito" w:eastAsia="Nunito" w:hAnsi="Nunito"/>
          <w:sz w:val="22"/>
          <w:szCs w:val="22"/>
        </w:rPr>
        <w:t xml:space="preserve">Each subsection below mirrors the matching section of ABAI's RFP, with items numbered in the same order so you can check our response line by line. Tables hold the mechanical checklist of features. Where a single RFP line implies a much larger build, the load-bearing decisions (payment gateway choice, jobs moderation model, live-class delivery, admin tooling, performance and uptime realism) are pulled out into short prose paragraphs labelled </w:t>
      </w:r>
      <w:r>
        <w:rPr>
          <w:rFonts w:ascii="Nunito" w:cs="Nunito" w:eastAsia="Nunito" w:hAnsi="Nunito"/>
          <w:b/>
          <w:bCs/>
          <w:sz w:val="22"/>
          <w:szCs w:val="22"/>
        </w:rPr>
        <w:t xml:space="preserve">Scope boundary</w:t>
      </w:r>
      <w:r>
        <w:rPr>
          <w:rFonts w:ascii="Nunito" w:cs="Nunito" w:eastAsia="Nunito" w:hAnsi="Nunito"/>
          <w:sz w:val="22"/>
          <w:szCs w:val="22"/>
        </w:rPr>
        <w:t xml:space="preserve"> so they are not buried inside a checklist row.</w:t>
      </w:r>
    </w:p>
    <w:p>
      <w:pPr>
        <w:pStyle w:val="Heading3"/>
        <w:keepNext/>
        <w:keepLines/>
        <w:spacing w:after="100" w:before="220"/>
      </w:pPr>
      <w:r>
        <w:t xml:space="preserve">3.1 Information Hub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Homepage news/announcements/events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Living-dashboard layout: hero, news strip, upcoming events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Ireland news for the community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Dedicated content type with category filters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Important links (immigration, health, welfare, legal)</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Curated, categorised directory</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Interactive events calendar</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Events plugin with month, list, and upcoming views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EU information corner</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Dedicated landing section</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Photo / video gallery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Event-based albums with lightbox and lazy loading</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7</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About ABAI (vision, mission, values)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Single page; ABAI supplies copy</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8</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ABAI activities (cultural, religious, welfare, fundraising)</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Themed groupings, editor-extensible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9</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Committee Members directory</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One card per member; swappable each term</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10</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Full ABAI history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Vertical timeline driven by a milestone content type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Archive of past activities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Year-filtered, searchable archive</w:t>
            </w:r>
          </w:p>
        </w:tc>
      </w:tr>
    </w:tbl>
    <w:p>
      <w:pPr>
        <w:spacing w:after="90" w:before="0"/>
      </w:pPr>
    </w:p>
    <w:p>
      <w:pPr>
        <w:pStyle w:val="Heading3"/>
        <w:keepNext/>
        <w:keepLines/>
        <w:spacing w:after="100" w:before="220"/>
      </w:pPr>
      <w:r>
        <w:t xml:space="preserve">3.2 Employment Platform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Job listings for the community</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Curated job board; filters for category, location, contract</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Employer / recruiter posting</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Moderated submission workflow (see Scope boundary below)</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CV writing tips &amp; employment resources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Editorial pages authored by ABAI in Elementor</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Links to official Irish job portals &amp; training</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Categorised outbound directory (jobsireland.ie, Solas, Springboard+)</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Job alerts for registered members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Weekly opt-in email digest</w:t>
            </w:r>
          </w:p>
        </w:tc>
      </w:tr>
    </w:tbl>
    <w:p>
      <w:pPr>
        <w:spacing w:after="90" w:before="0"/>
      </w:pPr>
    </w:p>
    <w:p>
      <w:pPr>
        <w:spacing w:after="90" w:before="0"/>
      </w:pPr>
      <w:r>
        <w:rPr>
          <w:rFonts w:ascii="Nunito" w:cs="Nunito" w:eastAsia="Nunito" w:hAnsi="Nunito"/>
          <w:b/>
          <w:bCs/>
          <w:sz w:val="22"/>
          <w:szCs w:val="22"/>
        </w:rPr>
        <w:t xml:space="preserve">Scope boundary - jobs moderation.</w:t>
      </w:r>
      <w:r>
        <w:rPr>
          <w:rFonts w:ascii="Nunito" w:cs="Nunito" w:eastAsia="Nunito" w:hAnsi="Nunito"/>
          <w:sz w:val="22"/>
          <w:szCs w:val="22"/>
        </w:rPr>
        <w:t xml:space="preserve"> Employer postings run on a BDJobs-style moderated workflow: the employer pays via Stripe, submits supporting documents, and ABAI verifies before the post goes live. A fully open, LinkedIn-style self-service portal (employer KYC, automated billing, and anti-scam moderation tooling) is a substantially larger engineering effort and sits respectfully outside the scope of the current budget; we would be glad to scope it as a future phase whenever ABAI is ready.</w:t>
      </w:r>
    </w:p>
    <w:p>
      <w:pPr>
        <w:pStyle w:val="Heading3"/>
        <w:keepNext/>
        <w:keepLines/>
        <w:spacing w:after="100" w:before="220"/>
      </w:pPr>
      <w:r>
        <w:t xml:space="preserve">3.3 Education Platform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School/college/university + scholarship info</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Editorial pages by stage; ABAI maintains via admin</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Arabic/Quran classes for Irish-born children</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Schedule, registration, teacher profiles, syllabus, join-links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Religious classes timetable + registration</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Recurring calendar with per-session registration and reminder emails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Irish University &amp; College Guide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Institution directory with course area, fees, outbound links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Career pathways (healthcare, tech, engineering, finance, education)</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Static editorial guidance pages; ABAI supplies source content</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Scholarship &amp; bursary directory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Filterable directory (SUSI, government, university, international)</w:t>
            </w:r>
          </w:p>
        </w:tc>
      </w:tr>
    </w:tbl>
    <w:p>
      <w:pPr>
        <w:spacing w:after="90" w:before="0"/>
      </w:pPr>
    </w:p>
    <w:p>
      <w:pPr>
        <w:spacing w:after="90" w:before="0"/>
      </w:pPr>
      <w:r>
        <w:rPr>
          <w:rFonts w:ascii="Nunito" w:cs="Nunito" w:eastAsia="Nunito" w:hAnsi="Nunito"/>
          <w:b/>
          <w:bCs/>
          <w:sz w:val="22"/>
          <w:szCs w:val="22"/>
        </w:rPr>
        <w:t xml:space="preserve">Scope boundary - live classes.</w:t>
      </w:r>
      <w:r>
        <w:rPr>
          <w:rFonts w:ascii="Nunito" w:cs="Nunito" w:eastAsia="Nunito" w:hAnsi="Nunito"/>
          <w:sz w:val="22"/>
          <w:szCs w:val="22"/>
        </w:rPr>
        <w:t xml:space="preserve"> The website schedules, registers, and links out to live classes; it does not host video streaming. Live sessions run on Zoom or Google Meet under ABAI's own accounts, and the website carries the join-links. Building in-site multi-party video is a separate, considerably larger undertaking that falls outside the present budget; we would welcome the chance to plan it as a dedicated phase if and when ABAI decides to bring streaming in-house.</w:t>
      </w:r>
    </w:p>
    <w:p>
      <w:pPr>
        <w:pStyle w:val="Heading3"/>
        <w:keepNext/>
        <w:keepLines/>
        <w:spacing w:after="100" w:before="220"/>
      </w:pPr>
      <w:r>
        <w:t xml:space="preserve">3.4 Membership &amp; Payments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Open public membership platform</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Public sign-up at </w:t>
            </w:r>
            <w:r>
              <w:rPr>
                <w:rFonts w:ascii="Courier New" w:cs="Courier New" w:eastAsia="Courier New" w:hAnsi="Courier New"/>
                <w:sz w:val="22"/>
                <w:szCs w:val="22"/>
              </w:rPr>
              <w:t xml:space="preserve">/membership</w:t>
            </w:r>
            <w:r>
              <w:rPr>
                <w:rFonts w:ascii="Nunito" w:cs="Nunito" w:eastAsia="Nunito" w:hAnsi="Nunito"/>
                <w:sz w:val="22"/>
                <w:szCs w:val="22"/>
              </w:rPr>
              <w:t xml:space="preserve"> via Paid Memberships Pro or MemberPress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Tiers (Individual, Honorary)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Configured as Stripe products with per-tier gating</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Donation-based Honorary upgrade</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Automatic Honorary badge once the donation threshold is crossed</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Secure payment gateway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Stripe Elements (PCI-DSS); EU DPA in place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Member login + profile area</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Profile edit, status view, branded PDF certificate download</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Renewal reminders + receipts</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Stripe Billing for charging; transactional email via Postmark or Resend</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7</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Admin panel + CSV export</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Membership plugin admin; exports include donations and honorary log</w:t>
            </w:r>
          </w:p>
        </w:tc>
      </w:tr>
    </w:tbl>
    <w:p>
      <w:pPr>
        <w:spacing w:after="90" w:before="0"/>
      </w:pPr>
    </w:p>
    <w:p>
      <w:pPr>
        <w:spacing w:after="90" w:before="0"/>
      </w:pPr>
      <w:r>
        <w:rPr>
          <w:rFonts w:ascii="Nunito" w:cs="Nunito" w:eastAsia="Nunito" w:hAnsi="Nunito"/>
          <w:b/>
          <w:bCs/>
          <w:sz w:val="22"/>
          <w:szCs w:val="22"/>
        </w:rPr>
        <w:t xml:space="preserve">Scope boundary - Stripe only.</w:t>
      </w:r>
      <w:r>
        <w:rPr>
          <w:rFonts w:ascii="Nunito" w:cs="Nunito" w:eastAsia="Nunito" w:hAnsi="Nunito"/>
          <w:sz w:val="22"/>
          <w:szCs w:val="22"/>
        </w:rPr>
        <w:t xml:space="preserve"> We recommend Stripe as the sole gateway. Stripe alone covers cards (Visa, Mastercard, Amex), Apple Pay, Google Pay, SEPA, Klarna, and Revolut Pay. Adding PayPal as a second gateway doubles reconciliation work for ABAI's treasurer without adding meaningful coverage.</w:t>
      </w:r>
    </w:p>
    <w:p>
      <w:pPr>
        <w:pStyle w:val="Heading3"/>
        <w:keepNext/>
        <w:keepLines/>
        <w:spacing w:after="100" w:before="220"/>
      </w:pPr>
      <w:r>
        <w:t xml:space="preserve">3.5 Admin Dashboard (No-Code Control Panel)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Add/edit/delete pages with no code</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Full content CRUD via Elementor visual editor</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Add navigation menus and sections</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Standard WordPress Menus + Customiser</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Manage members, events, donations, jobs from one dashboard</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Unified WordPress admin sidebar</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Drag-and-drop page builder</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Elementor Pro</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Activity log of admin changes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WP Activity Log plugin</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Edit all content and menu buttons</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Single admin role covering content, menus, widgets, members</w:t>
            </w:r>
          </w:p>
        </w:tc>
      </w:tr>
    </w:tbl>
    <w:p>
      <w:pPr>
        <w:spacing w:after="90" w:before="0"/>
      </w:pPr>
    </w:p>
    <w:p>
      <w:pPr>
        <w:spacing w:after="90" w:before="0"/>
      </w:pPr>
      <w:r>
        <w:rPr>
          <w:rFonts w:ascii="Nunito" w:cs="Nunito" w:eastAsia="Nunito" w:hAnsi="Nunito"/>
          <w:b/>
          <w:bCs/>
          <w:sz w:val="22"/>
          <w:szCs w:val="22"/>
        </w:rPr>
        <w:t xml:space="preserve">Scope boundary - what the admin is.</w:t>
      </w:r>
      <w:r>
        <w:rPr>
          <w:rFonts w:ascii="Nunito" w:cs="Nunito" w:eastAsia="Nunito" w:hAnsi="Nunito"/>
          <w:sz w:val="22"/>
          <w:szCs w:val="22"/>
        </w:rPr>
        <w:t xml:space="preserve"> We configure the existing WordPress + Elementor admin so non-technical committee admins can run the site day-to-day. We do not engineer a bespoke dashboard engine from scratch; that is a separate six-figure project, and the WordPress admin already meets every clause above.</w:t>
      </w:r>
    </w:p>
    <w:p>
      <w:pPr>
        <w:spacing w:after="90" w:before="0"/>
      </w:pPr>
      <w:r>
        <w:rPr>
          <w:rFonts w:ascii="Nunito" w:cs="Nunito" w:eastAsia="Nunito" w:hAnsi="Nunito"/>
          <w:b/>
          <w:bCs/>
          <w:sz w:val="22"/>
          <w:szCs w:val="22"/>
        </w:rPr>
        <w:t xml:space="preserve">Warranty and rate-card.</w:t>
      </w:r>
      <w:r>
        <w:rPr>
          <w:rFonts w:ascii="Nunito" w:cs="Nunito" w:eastAsia="Nunito" w:hAnsi="Nunito"/>
          <w:sz w:val="22"/>
          <w:szCs w:val="22"/>
        </w:rPr>
        <w:t xml:space="preserve"> 6-month development warranty post-deployment covers bugs, layout issues, and small page requests free of charge. After warranty, new pages cost approximately </w:t>
      </w:r>
      <w:r>
        <w:rPr>
          <w:rFonts w:ascii="Nunito" w:cs="Nunito" w:eastAsia="Nunito" w:hAnsi="Nunito"/>
          <w:b/>
          <w:bCs/>
          <w:sz w:val="22"/>
          <w:szCs w:val="22"/>
        </w:rPr>
        <w:t xml:space="preserve">€20/page</w:t>
      </w:r>
      <w:r>
        <w:rPr>
          <w:rFonts w:ascii="Nunito" w:cs="Nunito" w:eastAsia="Nunito" w:hAnsi="Nunito"/>
          <w:sz w:val="22"/>
          <w:szCs w:val="22"/>
        </w:rPr>
        <w:t xml:space="preserve"> standard, scaling to </w:t>
      </w:r>
      <w:r>
        <w:rPr>
          <w:rFonts w:ascii="Nunito" w:cs="Nunito" w:eastAsia="Nunito" w:hAnsi="Nunito"/>
          <w:b/>
          <w:bCs/>
          <w:sz w:val="22"/>
          <w:szCs w:val="22"/>
        </w:rPr>
        <w:t xml:space="preserve">€50+/page</w:t>
      </w:r>
      <w:r>
        <w:rPr>
          <w:rFonts w:ascii="Nunito" w:cs="Nunito" w:eastAsia="Nunito" w:hAnsi="Nunito"/>
          <w:sz w:val="22"/>
          <w:szCs w:val="22"/>
        </w:rPr>
        <w:t xml:space="preserve"> for complex layouts. ABAI admins can also build new pages themselves via the included training.</w:t>
      </w:r>
    </w:p>
    <w:p>
      <w:pPr>
        <w:pStyle w:val="Heading3"/>
        <w:keepNext/>
        <w:keepLines/>
        <w:spacing w:after="100" w:before="220"/>
      </w:pPr>
      <w:r>
        <w:t xml:space="preserve">3.6 Technical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Fully mobile responsive</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Latest iPhone, iPad, Samsung S-series + 1280/1440/1920 desktop breakpoints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Page speed (PageSpeed 80+)</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Caching, image optimisation, CDN; Core Web Vitals reported at handover</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GDPR (consent, privacy, data management)</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Complianz GDPR Premium</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SSL + secure data handling</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HTTPS by default, auto-renewing certificate, HSTS enabled</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Bilingual English + Bangla (Unicode)</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Unicode authoring day one; English-first chrome; </w:t>
            </w:r>
            <w:r>
              <w:rPr>
                <w:rFonts w:ascii="Courier New" w:cs="Courier New" w:eastAsia="Courier New" w:hAnsi="Courier New"/>
                <w:sz w:val="22"/>
                <w:szCs w:val="22"/>
              </w:rPr>
              <w:t xml:space="preserve">bn.abai.ie</w:t>
            </w:r>
            <w:r>
              <w:rPr>
                <w:rFonts w:ascii="Nunito" w:cs="Nunito" w:eastAsia="Nunito" w:hAnsi="Nunito"/>
                <w:sz w:val="22"/>
                <w:szCs w:val="22"/>
              </w:rPr>
              <w:t xml:space="preserve"> in Phase 2</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SEO best practices</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On-page hygiene only - this is NOT an SEO ranking engagement.</w:t>
            </w:r>
            <w:r>
              <w:rPr>
                <w:rFonts w:ascii="Nunito" w:cs="Nunito" w:eastAsia="Nunito" w:hAnsi="Nunito"/>
                <w:sz w:val="22"/>
                <w:szCs w:val="22"/>
              </w:rPr>
              <w:t xml:space="preserve"> Launch covers metadata, sitemap, schema, internal linking, alt text, canonicals. Ongoing SEO (content, backlinks, keyword ranking) is a separate monthly service and is explicitly out of scope.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7</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Accessibility (WCAG 2.1 AA recommended)</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Best-effort WCAG 2.1 AA at build; formal third-party certification audit out of scope</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8</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Reliable hosting (99.9% uptime)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Reputable managed host with a high-99s track record</w:t>
            </w:r>
          </w:p>
        </w:tc>
      </w:tr>
    </w:tbl>
    <w:p>
      <w:pPr>
        <w:spacing w:after="90" w:before="0"/>
      </w:pPr>
    </w:p>
    <w:p>
      <w:pPr>
        <w:spacing w:after="90" w:before="0"/>
      </w:pPr>
      <w:r>
        <w:rPr>
          <w:rFonts w:ascii="Nunito" w:cs="Nunito" w:eastAsia="Nunito" w:hAnsi="Nunito"/>
          <w:b/>
          <w:bCs/>
          <w:sz w:val="22"/>
          <w:szCs w:val="22"/>
        </w:rPr>
        <w:t xml:space="preserve">Scope boundary - performance and uptime realism.</w:t>
      </w:r>
      <w:r>
        <w:rPr>
          <w:rFonts w:ascii="Nunito" w:cs="Nunito" w:eastAsia="Nunito" w:hAnsi="Nunito"/>
          <w:sz w:val="22"/>
          <w:szCs w:val="22"/>
        </w:rPr>
        <w:t xml:space="preserve"> A blank page scores 100/100 on PageSpeed and is useless; we tune speed against engagement, not a fixed score. SEO </w:t>
      </w:r>
      <w:r>
        <w:rPr>
          <w:rFonts w:ascii="Nunito" w:cs="Nunito" w:eastAsia="Nunito" w:hAnsi="Nunito"/>
          <w:b/>
          <w:bCs/>
          <w:sz w:val="22"/>
          <w:szCs w:val="22"/>
        </w:rPr>
        <w:t xml:space="preserve">ranking</w:t>
      </w:r>
      <w:r>
        <w:rPr>
          <w:rFonts w:ascii="Nunito" w:cs="Nunito" w:eastAsia="Nunito" w:hAnsi="Nunito"/>
          <w:sz w:val="22"/>
          <w:szCs w:val="22"/>
        </w:rPr>
        <w:t xml:space="preserve"> is an ongoing monthly engagement (content, backlinks, technical audits) and is out of scope for the build budget; we leave the site rankable. No web host can be contractually guaranteed at 99.9% inside this budget; the uptime SLA sits with the hosting provider, not Riseup Asia. Exhaustive cross-device QA on older or non-flagship handsets is a paid add-on if analytics show meaningful traffic.</w:t>
      </w:r>
    </w:p>
    <w:p>
      <w:pPr>
        <w:pStyle w:val="Heading2"/>
        <w:keepNext/>
        <w:keepLines/>
        <w:spacing w:after="100" w:before="220"/>
      </w:pPr>
      <w:r>
        <w:t xml:space="preserve">4. Deliverables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Deliverable</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Handed over</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Custom WordPress website</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Live ABAI site covering information hub, events, jobs, education, membership, donations, admin, and compliance</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WordPress + Elementor Pro setup</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Theme, page templates, reusable sections, menus, forms, committee-editable structure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Membership, donations, jobs, events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Plugin-based workflows configured, tested, and documented</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GDPR, SEO, speed, accessibility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Complianz setup, launch metadata, sitemap, caching, image optimisation, WCAG checks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Training and documentation</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Admin handover session, editor guide, plugin list, credentials checklist, support process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Hosting and warranty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3-year hosting (if bundled line taken) + 6-month development warranty post-launch</w:t>
            </w:r>
          </w:p>
        </w:tc>
      </w:tr>
    </w:tbl>
    <w:p>
      <w:pPr>
        <w:spacing w:after="90" w:before="0"/>
      </w:pPr>
    </w:p>
    <w:p>
      <w:pPr>
        <w:spacing w:after="90" w:before="0"/>
      </w:pPr>
      <w:r>
        <w:rPr>
          <w:rFonts w:ascii="Nunito" w:cs="Nunito" w:eastAsia="Nunito" w:hAnsi="Nunito"/>
          <w:b/>
          <w:bCs/>
          <w:sz w:val="22"/>
          <w:szCs w:val="22"/>
        </w:rPr>
        <w:t xml:space="preserve">Stack.</w:t>
      </w:r>
      <w:r>
        <w:rPr>
          <w:rFonts w:ascii="Nunito" w:cs="Nunito" w:eastAsia="Nunito" w:hAnsi="Nunito"/>
          <w:sz w:val="22"/>
          <w:szCs w:val="22"/>
        </w:rPr>
        <w:t xml:space="preserve"> We're building this on </w:t>
      </w:r>
      <w:r>
        <w:rPr>
          <w:rFonts w:ascii="Nunito" w:cs="Nunito" w:eastAsia="Nunito" w:hAnsi="Nunito"/>
          <w:b/>
          <w:bCs/>
          <w:sz w:val="22"/>
          <w:szCs w:val="22"/>
        </w:rPr>
        <w:t xml:space="preserve">WordPress + Elementor Pro</w:t>
      </w:r>
      <w:r>
        <w:rPr>
          <w:rFonts w:ascii="Nunito" w:cs="Nunito" w:eastAsia="Nunito" w:hAnsi="Nunito"/>
          <w:sz w:val="22"/>
          <w:szCs w:val="22"/>
        </w:rPr>
        <w:t xml:space="preserve"> because it is the only stack where the €5,000 budget delivers all of Sections 3.1-3.6 and a usable no-code admin for the committee.</w:t>
      </w:r>
    </w:p>
    <w:p>
      <w:pPr>
        <w:pStyle w:val="Heading2"/>
        <w:keepNext/>
        <w:keepLines/>
        <w:spacing w:after="100" w:before="220"/>
      </w:pPr>
      <w:r>
        <w:t xml:space="preserve">5. Portfolio</w:t>
      </w:r>
    </w:p>
    <w:p>
      <w:pPr>
        <w:spacing w:after="90" w:before="0"/>
      </w:pPr>
      <w:r>
        <w:rPr>
          <w:rFonts w:ascii="Nunito" w:cs="Nunito" w:eastAsia="Nunito" w:hAnsi="Nunito"/>
          <w:sz w:val="22"/>
          <w:szCs w:val="22"/>
        </w:rPr>
        <w:t xml:space="preserve">Lead engineer </w:t>
      </w:r>
      <w:r>
        <w:rPr>
          <w:rFonts w:ascii="Nunito" w:cs="Nunito" w:eastAsia="Nunito" w:hAnsi="Nunito"/>
          <w:b/>
          <w:bCs/>
          <w:sz w:val="22"/>
          <w:szCs w:val="22"/>
        </w:rPr>
        <w:t xml:space="preserve">Md Alim Ul Karim</w:t>
      </w:r>
      <w:r>
        <w:rPr>
          <w:rFonts w:ascii="Nunito" w:cs="Nunito" w:eastAsia="Nunito" w:hAnsi="Nunito"/>
          <w:sz w:val="22"/>
          <w:szCs w:val="22"/>
        </w:rPr>
        <w:t xml:space="preserve"> brings 15 years of US/EU engineering experience, including systems serving 10M+ daily requests across four continents.</w:t>
      </w:r>
    </w:p>
    <w:p>
      <w:pPr>
        <w:spacing w:after="90" w:before="0"/>
      </w:pPr>
      <w:r>
        <w:rPr>
          <w:rFonts w:ascii="Nunito" w:cs="Nunito" w:eastAsia="Nunito" w:hAnsi="Nunito"/>
          <w:b/>
          <w:bCs/>
          <w:sz w:val="22"/>
          <w:szCs w:val="22"/>
        </w:rPr>
        <w:t xml:space="preserve">Credentials</w:t>
      </w:r>
    </w:p>
    <w:p>
      <w:pPr>
        <w:pStyle w:val="ListParagraph"/>
        <w:numPr>
          <w:ilvl w:val="0"/>
          <w:numId w:val="2"/>
        </w:numPr>
        <w:spacing w:after="40" w:before="0"/>
      </w:pPr>
      <w:r>
        <w:rPr>
          <w:rFonts w:ascii="Nunito" w:cs="Nunito" w:eastAsia="Nunito" w:hAnsi="Nunito"/>
          <w:b/>
          <w:bCs/>
          <w:sz w:val="22"/>
          <w:szCs w:val="22"/>
        </w:rPr>
        <w:t xml:space="preserve">B.Sc. in Computer Science &amp; Engineering, North South University (NSU), Dhaka</w:t>
      </w:r>
      <w:r>
        <w:rPr>
          <w:rFonts w:ascii="Nunito" w:cs="Nunito" w:eastAsia="Nunito" w:hAnsi="Nunito"/>
          <w:sz w:val="22"/>
          <w:szCs w:val="22"/>
        </w:rPr>
        <w:t xml:space="preserve"> - Bangladesh's leading private university, ranked in the </w:t>
      </w:r>
      <w:r>
        <w:rPr>
          <w:rFonts w:ascii="Nunito" w:cs="Nunito" w:eastAsia="Nunito" w:hAnsi="Nunito"/>
          <w:b/>
          <w:bCs/>
          <w:sz w:val="22"/>
          <w:szCs w:val="22"/>
        </w:rPr>
        <w:t xml:space="preserve">QS World University Rankings top 900</w:t>
      </w:r>
      <w:r>
        <w:rPr>
          <w:rFonts w:ascii="Nunito" w:cs="Nunito" w:eastAsia="Nunito" w:hAnsi="Nunito"/>
          <w:sz w:val="22"/>
          <w:szCs w:val="22"/>
        </w:rPr>
        <w:t xml:space="preserve"> globally. Graduated in the </w:t>
      </w:r>
      <w:r>
        <w:rPr>
          <w:rFonts w:ascii="Nunito" w:cs="Nunito" w:eastAsia="Nunito" w:hAnsi="Nunito"/>
          <w:b/>
          <w:bCs/>
          <w:sz w:val="22"/>
          <w:szCs w:val="22"/>
        </w:rPr>
        <w:t xml:space="preserve">top 13%</w:t>
      </w:r>
      <w:r>
        <w:rPr>
          <w:rFonts w:ascii="Nunito" w:cs="Nunito" w:eastAsia="Nunito" w:hAnsi="Nunito"/>
          <w:sz w:val="22"/>
          <w:szCs w:val="22"/>
        </w:rPr>
        <w:t xml:space="preserve"> of the CSE department.</w:t>
      </w:r>
    </w:p>
    <w:p>
      <w:pPr>
        <w:pStyle w:val="ListParagraph"/>
        <w:numPr>
          <w:ilvl w:val="0"/>
          <w:numId w:val="2"/>
        </w:numPr>
        <w:spacing w:after="40" w:before="0"/>
      </w:pPr>
      <w:r>
        <w:rPr>
          <w:rFonts w:ascii="Nunito" w:cs="Nunito" w:eastAsia="Nunito" w:hAnsi="Nunito"/>
          <w:b/>
          <w:bCs/>
          <w:sz w:val="22"/>
          <w:szCs w:val="22"/>
        </w:rPr>
        <w:t xml:space="preserve">Crossover for Work</w:t>
      </w:r>
      <w:r>
        <w:rPr>
          <w:rFonts w:ascii="Nunito" w:cs="Nunito" w:eastAsia="Nunito" w:hAnsi="Nunito"/>
          <w:sz w:val="22"/>
          <w:szCs w:val="22"/>
        </w:rPr>
        <w:t xml:space="preserve"> - hired and later </w:t>
      </w:r>
      <w:r>
        <w:rPr>
          <w:rFonts w:ascii="Nunito" w:cs="Nunito" w:eastAsia="Nunito" w:hAnsi="Nunito"/>
          <w:b/>
          <w:bCs/>
          <w:sz w:val="22"/>
          <w:szCs w:val="22"/>
        </w:rPr>
        <w:t xml:space="preserve">promoted</w:t>
      </w:r>
      <w:r>
        <w:rPr>
          <w:rFonts w:ascii="Nunito" w:cs="Nunito" w:eastAsia="Nunito" w:hAnsi="Nunito"/>
          <w:sz w:val="22"/>
          <w:szCs w:val="22"/>
        </w:rPr>
        <w:t xml:space="preserve"> at Crossover, which selects from the </w:t>
      </w:r>
      <w:r>
        <w:rPr>
          <w:rFonts w:ascii="Nunito" w:cs="Nunito" w:eastAsia="Nunito" w:hAnsi="Nunito"/>
          <w:b/>
          <w:bCs/>
          <w:sz w:val="22"/>
          <w:szCs w:val="22"/>
        </w:rPr>
        <w:t xml:space="preserve">top 1% of global engineering talent</w:t>
      </w:r>
      <w:r>
        <w:rPr>
          <w:rFonts w:ascii="Nunito" w:cs="Nunito" w:eastAsia="Nunito" w:hAnsi="Nunito"/>
          <w:sz w:val="22"/>
          <w:szCs w:val="22"/>
        </w:rPr>
        <w:t xml:space="preserve"> through a multi-stage technical screen.</w:t>
      </w:r>
    </w:p>
    <w:p>
      <w:pPr>
        <w:pStyle w:val="ListParagraph"/>
        <w:numPr>
          <w:ilvl w:val="0"/>
          <w:numId w:val="2"/>
        </w:numPr>
        <w:spacing w:after="40" w:before="0"/>
      </w:pPr>
      <w:r>
        <w:rPr>
          <w:rFonts w:ascii="Nunito" w:cs="Nunito" w:eastAsia="Nunito" w:hAnsi="Nunito"/>
          <w:sz w:val="22"/>
          <w:szCs w:val="22"/>
        </w:rPr>
        <w:t xml:space="preserve">Prior senior engineering work for US and EU companies including </w:t>
      </w:r>
      <w:r>
        <w:rPr>
          <w:rFonts w:ascii="Nunito" w:cs="Nunito" w:eastAsia="Nunito" w:hAnsi="Nunito"/>
          <w:b/>
          <w:bCs/>
          <w:sz w:val="22"/>
          <w:szCs w:val="22"/>
        </w:rPr>
        <w:t xml:space="preserve">Crossover</w:t>
      </w:r>
      <w:r>
        <w:rPr>
          <w:rFonts w:ascii="Nunito" w:cs="Nunito" w:eastAsia="Nunito" w:hAnsi="Nunito"/>
          <w:sz w:val="22"/>
          <w:szCs w:val="22"/>
        </w:rPr>
        <w:t xml:space="preserve"> and </w:t>
      </w:r>
      <w:r>
        <w:rPr>
          <w:rFonts w:ascii="Nunito" w:cs="Nunito" w:eastAsia="Nunito" w:hAnsi="Nunito"/>
          <w:b/>
          <w:bCs/>
          <w:sz w:val="22"/>
          <w:szCs w:val="22"/>
        </w:rPr>
        <w:t xml:space="preserve">Validata</w:t>
      </w:r>
      <w:r>
        <w:rPr>
          <w:rFonts w:ascii="Nunito" w:cs="Nunito" w:eastAsia="Nunito" w:hAnsi="Nunito"/>
          <w:sz w:val="22"/>
          <w:szCs w:val="22"/>
        </w:rPr>
        <w:t xml:space="preserve">, on systems handling 10M+ daily requests across four continents.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blHeader/>
        </w:trPr>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Project</w:t>
            </w:r>
          </w:p>
        </w:tc>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Sector</w:t>
            </w:r>
          </w:p>
        </w:tc>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Description</w:t>
            </w:r>
          </w:p>
        </w:tc>
        <w:tc>
          <w:tcPr>
            <w:tcW w:type="dxa" w:w="1806"/>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URL</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Dr Arefin</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Healthcare / personal brand</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Consultant doctor's clinic site with appointment-request flow and patient information.</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https://drarefin.com</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Atto Bond Cleaning</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Local services, Australia</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Bond and steam cleaning company serving Melbourne-area suburbs with quote-request flow.</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https://attobondcleaning.store</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Developers Organism</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B2B staffing &amp; SEO, US</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B2B agency site for an engineering-staffing and SEO firm targeting US clients.</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https://developers-organism.com</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CAF Patronato Fondi</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Non-profit / public assistance, Italy</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Italian non-profit offering tax, welfare, and immigration assistance to members - closest structural analogue to ABAI.</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https://cafpatronatofondi.com</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KI Training &amp; Assessing</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Education, Australia</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Registered training organisation site with course catalogue and enrolment enquiries.</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https://kita.edu.au</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SR Style</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Lifestyle / editorial, Bangladesh</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Lifestyle and editorial publication with multi-category content architecture.</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https://srstyle.com</w:t>
            </w:r>
          </w:p>
        </w:tc>
      </w:tr>
    </w:tbl>
    <w:p>
      <w:pPr>
        <w:spacing w:after="90" w:before="0"/>
      </w:pPr>
    </w:p>
    <w:p>
      <w:pPr>
        <w:spacing w:after="90" w:before="0"/>
      </w:pPr>
      <w:r>
        <w:rPr>
          <w:rFonts w:ascii="Nunito" w:cs="Nunito" w:eastAsia="Nunito" w:hAnsi="Nunito"/>
          <w:b/>
          <w:bCs/>
          <w:sz w:val="22"/>
          <w:szCs w:val="22"/>
        </w:rPr>
        <w:t xml:space="preserve">Closest analogue:</w:t>
      </w:r>
      <w:r>
        <w:rPr>
          <w:rFonts w:ascii="Nunito" w:cs="Nunito" w:eastAsia="Nunito" w:hAnsi="Nunito"/>
          <w:sz w:val="22"/>
          <w:szCs w:val="22"/>
        </w:rPr>
        <w:t xml:space="preserve"> CAF Patronato Fondi - a member-services and public-assistance organisation with multi-section information architecture and a trust-first tone.</w:t>
      </w:r>
    </w:p>
    <w:p>
      <w:pPr>
        <w:pStyle w:val="Heading2"/>
        <w:keepNext/>
        <w:keepLines/>
        <w:spacing w:after="100" w:before="220"/>
      </w:pPr>
      <w:r>
        <w:t xml:space="preserve">6. Timeline &amp; Pricing</w:t>
      </w:r>
    </w:p>
    <w:p>
      <w:pPr>
        <w:pStyle w:val="Heading3"/>
        <w:keepNext/>
        <w:keepLines/>
        <w:spacing w:after="100" w:before="220"/>
      </w:pPr>
      <w:r>
        <w:t xml:space="preserve">6.1 Delivery Timeline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Phase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Month</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Outcome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Discovery, content, architecture</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Requirements lock, plugin shortlist, content inventory, sitemap, roles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Design and core site build</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Homepage, information hub, events structure, reusable Elementor templates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Membership, payments, jobs, education</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Stripe flow, moderated jobs workflow, education structure</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Compliance, speed, admin training</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Complianz setup, SEO metadata, caching, device QA, admin walkthroughs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UAT, launch, warranty handover</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ABAI testing, final fixes, go-live, credentials transfer</w:t>
            </w:r>
          </w:p>
        </w:tc>
      </w:tr>
    </w:tbl>
    <w:p>
      <w:pPr>
        <w:spacing w:after="90" w:before="0"/>
      </w:pPr>
    </w:p>
    <w:p>
      <w:pPr>
        <w:pStyle w:val="Heading3"/>
        <w:keepNext/>
        <w:keepLines/>
        <w:spacing w:after="100" w:before="220"/>
      </w:pPr>
      <w:r>
        <w:t xml:space="preserve">6.2 Itemised Cost Breakdown</w:t>
      </w:r>
    </w:p>
    <w:p>
      <w:pPr>
        <w:spacing w:after="90" w:before="0"/>
      </w:pPr>
      <w:r>
        <w:rPr>
          <w:rFonts w:ascii="Nunito" w:cs="Nunito" w:eastAsia="Nunito" w:hAnsi="Nunito"/>
          <w:sz w:val="22"/>
          <w:szCs w:val="22"/>
        </w:rPr>
        <w:t xml:space="preserve">All work is billed on a transparent </w:t>
      </w:r>
      <w:r>
        <w:rPr>
          <w:rFonts w:ascii="Nunito" w:cs="Nunito" w:eastAsia="Nunito" w:hAnsi="Nunito"/>
          <w:b/>
          <w:bCs/>
          <w:sz w:val="22"/>
          <w:szCs w:val="22"/>
        </w:rPr>
        <w:t xml:space="preserve">hourly rate of €25/hour</w:t>
      </w:r>
      <w:r>
        <w:rPr>
          <w:rFonts w:ascii="Nunito" w:cs="Nunito" w:eastAsia="Nunito" w:hAnsi="Nunito"/>
          <w:sz w:val="22"/>
          <w:szCs w:val="22"/>
        </w:rPr>
        <w:t xml:space="preserve"> for senior engineering time. The line-by-line table below shows exactly where the engineering hours go per scope area; the goodwill discount is applied as a single line at the bottom so the committed price stays </w:t>
      </w:r>
      <w:r>
        <w:rPr>
          <w:rFonts w:ascii="Nunito" w:cs="Nunito" w:eastAsia="Nunito" w:hAnsi="Nunito"/>
          <w:b/>
          <w:bCs/>
          <w:sz w:val="22"/>
          <w:szCs w:val="22"/>
        </w:rPr>
        <w:t xml:space="preserve">€5,000</w:t>
      </w:r>
      <w:r>
        <w:rPr>
          <w:rFonts w:ascii="Nunito" w:cs="Nunito" w:eastAsia="Nunito" w:hAnsi="Nunito"/>
          <w:sz w:val="22"/>
          <w:szCs w:val="22"/>
        </w:rPr>
        <w:t xml:space="preser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blHeader/>
        </w:trPr>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Work item</w:t>
            </w:r>
          </w:p>
        </w:tc>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Hours</w:t>
            </w:r>
          </w:p>
        </w:tc>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Rate (EUR/hr)</w:t>
            </w:r>
          </w:p>
        </w:tc>
        <w:tc>
          <w:tcPr>
            <w:tcW w:type="dxa" w:w="1806"/>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List (EUR)</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Discovery, content audit, sitemap, role design</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20</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500</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Information hub - homepage, news, events calendar, gallery, history timeline, committee directory (Section 3.1)</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60</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1,500</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Employment platform - moderated job board, employer submission workflow, alerts (Section 3.2)</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30</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750</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Education platform - class schedules, registration, scholarship directory, career pages (Section 3.3)</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30</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750</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Membership &amp; Stripe payments - tiers, sign-up, profile area, certificates, renewals (Section 3.4)</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50</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1,250</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Admin dashboard configuration - Elementor Pro, roles, activity log, no-code workflows (Section 3.5)</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625</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7</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GDPR (Complianz), SEO hygiene, page speed, accessibility, SSL, bilingual setup (Section 3.6)</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30</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750</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8</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QA, device testing, UAT support, launch, handover</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625</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9</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Admin training - 30 hours included in scope</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30</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25</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750</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Subtotal (list price)</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300</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7,500</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Non-profit goodwill discount (~33%)</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-2,500</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Hosting + website maintenance, </w:t>
            </w:r>
            <w:r>
              <w:rPr>
                <w:rFonts w:ascii="Nunito" w:cs="Nunito" w:eastAsia="Nunito" w:hAnsi="Nunito"/>
                <w:b/>
                <w:bCs/>
                <w:sz w:val="22"/>
                <w:szCs w:val="22"/>
              </w:rPr>
              <w:t xml:space="preserve">3 full years</w:t>
            </w:r>
            <w:r>
              <w:rPr>
                <w:rFonts w:ascii="Nunito" w:cs="Nunito" w:eastAsia="Nunito" w:hAnsi="Nunito"/>
                <w:sz w:val="22"/>
                <w:szCs w:val="22"/>
              </w:rPr>
              <w:t xml:space="preserve"> (USD 800 ≈ €735) - transferred to ABAI control at end of term</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waived (included in €5,000)</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Total committed price</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€5,000</w:t>
            </w:r>
          </w:p>
        </w:tc>
      </w:tr>
    </w:tbl>
    <w:p>
      <w:pPr>
        <w:spacing w:after="90" w:before="0"/>
      </w:pPr>
    </w:p>
    <w:p>
      <w:pPr>
        <w:spacing w:after="90" w:before="0"/>
      </w:pPr>
      <w:r>
        <w:rPr>
          <w:rFonts w:ascii="Nunito" w:cs="Nunito" w:eastAsia="Nunito" w:hAnsi="Nunito"/>
          <w:b/>
          <w:bCs/>
          <w:sz w:val="22"/>
          <w:szCs w:val="22"/>
        </w:rPr>
        <w:t xml:space="preserve">How to read this table.</w:t>
      </w:r>
      <w:r>
        <w:rPr>
          <w:rFonts w:ascii="Nunito" w:cs="Nunito" w:eastAsia="Nunito" w:hAnsi="Nunito"/>
          <w:sz w:val="22"/>
          <w:szCs w:val="22"/>
        </w:rPr>
        <w:t xml:space="preserve"> The committed price is </w:t>
      </w:r>
      <w:r>
        <w:rPr>
          <w:rFonts w:ascii="Nunito" w:cs="Nunito" w:eastAsia="Nunito" w:hAnsi="Nunito"/>
          <w:b/>
          <w:bCs/>
          <w:sz w:val="22"/>
          <w:szCs w:val="22"/>
        </w:rPr>
        <w:t xml:space="preserve">€5,000</w:t>
      </w:r>
      <w:r>
        <w:rPr>
          <w:rFonts w:ascii="Nunito" w:cs="Nunito" w:eastAsia="Nunito" w:hAnsi="Nunito"/>
          <w:sz w:val="22"/>
          <w:szCs w:val="22"/>
        </w:rPr>
        <w:t xml:space="preserve">. The hourly line-items exist so ABAI's committee can see precisely where the engineering time goes - the discount is a single, transparent line at the bottom, not buried inside each item.</w:t>
      </w:r>
    </w:p>
    <w:p>
      <w:pPr>
        <w:spacing w:after="90" w:before="0"/>
      </w:pPr>
      <w:r>
        <w:rPr>
          <w:rFonts w:ascii="Nunito" w:cs="Nunito" w:eastAsia="Nunito" w:hAnsi="Nunito"/>
          <w:b/>
          <w:bCs/>
          <w:sz w:val="22"/>
          <w:szCs w:val="22"/>
        </w:rPr>
        <w:t xml:space="preserve">What the €5,000 budget covers (and for how long).</w:t>
      </w:r>
      <w:r>
        <w:rPr>
          <w:rFonts w:ascii="Nunito" w:cs="Nunito" w:eastAsia="Nunito" w:hAnsi="Nunito"/>
          <w:sz w:val="22"/>
          <w:szCs w:val="22"/>
        </w:rPr>
        <w:t xml:space="preserve"> The €5,000 covers the full build plus </w:t>
      </w:r>
      <w:r>
        <w:rPr>
          <w:rFonts w:ascii="Nunito" w:cs="Nunito" w:eastAsia="Nunito" w:hAnsi="Nunito"/>
          <w:b/>
          <w:bCs/>
          <w:sz w:val="22"/>
          <w:szCs w:val="22"/>
        </w:rPr>
        <w:t xml:space="preserve">three years of website hosting and routine maintenance</w:t>
      </w:r>
      <w:r>
        <w:rPr>
          <w:rFonts w:ascii="Nunito" w:cs="Nunito" w:eastAsia="Nunito" w:hAnsi="Nunito"/>
          <w:sz w:val="22"/>
          <w:szCs w:val="22"/>
        </w:rPr>
        <w:t xml:space="preserve"> (security updates, plugin updates, backups, uptime monitoring). After the 3-year term, ABAI either renews maintenance at the then-current rate or takes the site fully in-house - all credentials and ownership already sit with ABAI. </w:t>
      </w:r>
      <w:r>
        <w:rPr>
          <w:rFonts w:ascii="Nunito" w:cs="Nunito" w:eastAsia="Nunito" w:hAnsi="Nunito"/>
          <w:b/>
          <w:bCs/>
          <w:sz w:val="22"/>
          <w:szCs w:val="22"/>
        </w:rPr>
        <w:t xml:space="preserve">SEO ranking work is not part of this budget</w:t>
      </w:r>
      <w:r>
        <w:rPr>
          <w:rFonts w:ascii="Nunito" w:cs="Nunito" w:eastAsia="Nunito" w:hAnsi="Nunito"/>
          <w:sz w:val="22"/>
          <w:szCs w:val="22"/>
        </w:rPr>
        <w:t xml:space="preserve"> at any point (see Section 3.6 scope boundary).</w:t>
      </w:r>
    </w:p>
    <w:p>
      <w:pPr>
        <w:pStyle w:val="Heading3"/>
        <w:keepNext/>
        <w:keepLines/>
        <w:spacing w:after="100" w:before="220"/>
      </w:pPr>
      <w:r>
        <w:t xml:space="preserve">6.3 Optional Extended Track &amp; Rate-Card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4513"/>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Cost</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Extended 6-8 month track (if discovery confirms additional scope)</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€8,000</w:t>
            </w:r>
            <w:r>
              <w:rPr>
                <w:rFonts w:ascii="Nunito" w:cs="Nunito" w:eastAsia="Nunito" w:hAnsi="Nunito"/>
                <w:sz w:val="22"/>
                <w:szCs w:val="22"/>
              </w:rPr>
              <w:t xml:space="preserve">, agreed in writing before build starts</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Admin training beyond the 30 hours included</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€20/hour</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Post-warranty support (after 6-month warranty ends)</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€20/hour</w:t>
            </w:r>
          </w:p>
        </w:tc>
      </w:tr>
    </w:tbl>
    <w:p>
      <w:pPr>
        <w:spacing w:after="90" w:before="0"/>
      </w:pPr>
    </w:p>
    <w:p>
      <w:pPr>
        <w:spacing w:after="90" w:before="0"/>
      </w:pPr>
      <w:r>
        <w:rPr>
          <w:rFonts w:ascii="Nunito" w:cs="Nunito" w:eastAsia="Nunito" w:hAnsi="Nunito"/>
          <w:b/>
          <w:bCs/>
          <w:sz w:val="22"/>
          <w:szCs w:val="22"/>
        </w:rPr>
        <w:t xml:space="preserve">Third-party costs are paid directly by ABAI to those providers</w:t>
      </w:r>
      <w:r>
        <w:rPr>
          <w:rFonts w:ascii="Nunito" w:cs="Nunito" w:eastAsia="Nunito" w:hAnsi="Nunito"/>
          <w:sz w:val="22"/>
          <w:szCs w:val="22"/>
        </w:rPr>
        <w:t xml:space="preserve"> - plugin licences (Elementor Pro, Complianz Premium, events, membership, job-board, activity-log), Stripe processing fees, email-delivery service, Zoom or Google Meet, premium fonts, stock imagery. We do not mark these up. We supply a one-page itemised purchase list at the start of Phase 2 so ABAI's treasurer can buy them in one go.</w:t>
      </w:r>
    </w:p>
    <w:p>
      <w:pPr>
        <w:spacing w:after="90" w:before="0"/>
      </w:pPr>
      <w:r>
        <w:rPr>
          <w:rFonts w:ascii="Nunito" w:cs="Nunito" w:eastAsia="Nunito" w:hAnsi="Nunito"/>
          <w:b/>
          <w:bCs/>
          <w:sz w:val="22"/>
          <w:szCs w:val="22"/>
        </w:rPr>
        <w:t xml:space="preserve">Payment terms.</w:t>
      </w:r>
      <w:r>
        <w:rPr>
          <w:rFonts w:ascii="Nunito" w:cs="Nunito" w:eastAsia="Nunito" w:hAnsi="Nunito"/>
          <w:sz w:val="22"/>
          <w:szCs w:val="22"/>
        </w:rPr>
        <w:t xml:space="preserve"> Payments via </w:t>
      </w:r>
      <w:r>
        <w:rPr>
          <w:rFonts w:ascii="Nunito" w:cs="Nunito" w:eastAsia="Nunito" w:hAnsi="Nunito"/>
          <w:b/>
          <w:bCs/>
          <w:sz w:val="22"/>
          <w:szCs w:val="22"/>
        </w:rPr>
        <w:t xml:space="preserve">Wise</w:t>
      </w:r>
      <w:r>
        <w:rPr>
          <w:rFonts w:ascii="Nunito" w:cs="Nunito" w:eastAsia="Nunito" w:hAnsi="Nunito"/>
          <w:sz w:val="22"/>
          <w:szCs w:val="22"/>
        </w:rPr>
        <w:t xml:space="preserve"> in EUR: </w:t>
      </w:r>
      <w:r>
        <w:rPr>
          <w:rFonts w:ascii="Nunito" w:cs="Nunito" w:eastAsia="Nunito" w:hAnsi="Nunito"/>
          <w:b/>
          <w:bCs/>
          <w:sz w:val="22"/>
          <w:szCs w:val="22"/>
        </w:rPr>
        <w:t xml:space="preserve">50% upfront</w:t>
      </w:r>
      <w:r>
        <w:rPr>
          <w:rFonts w:ascii="Nunito" w:cs="Nunito" w:eastAsia="Nunito" w:hAnsi="Nunito"/>
          <w:sz w:val="22"/>
          <w:szCs w:val="22"/>
        </w:rPr>
        <w:t xml:space="preserve"> on signature, </w:t>
      </w:r>
      <w:r>
        <w:rPr>
          <w:rFonts w:ascii="Nunito" w:cs="Nunito" w:eastAsia="Nunito" w:hAnsi="Nunito"/>
          <w:b/>
          <w:bCs/>
          <w:sz w:val="22"/>
          <w:szCs w:val="22"/>
        </w:rPr>
        <w:t xml:space="preserve">50% within 7 days of final delivery</w:t>
      </w:r>
      <w:r>
        <w:rPr>
          <w:rFonts w:ascii="Nunito" w:cs="Nunito" w:eastAsia="Nunito" w:hAnsi="Nunito"/>
          <w:sz w:val="22"/>
          <w:szCs w:val="22"/>
        </w:rPr>
        <w:t xml:space="preserve">. No additional TAX/VAT charged by Riseup Asia.</w:t>
      </w:r>
    </w:p>
    <w:p>
      <w:pPr>
        <w:pStyle w:val="Heading2"/>
        <w:keepNext/>
        <w:keepLines/>
        <w:spacing w:after="100" w:before="220"/>
      </w:pPr>
      <w:r>
        <w:t xml:space="preserve">7. Terms &amp; Conditions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RFP term</w:t>
            </w:r>
          </w:p>
        </w:tc>
        <w:tc>
          <w:tcPr>
            <w:tcW w:type="dxa" w:w="4513"/>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Our response</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Non-profit, community-funded pricing</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Acknowledged. The €5,000 track and waived hosting line reflect this.</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IP ownership (code, design, database, content)</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Agreed. ABAI owns these on final payment. Future code walkthroughs quoted separately.</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Domain, hosting, credentials control</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Agreed. ABAI owns domain and master credentials; we are technical contact during delivery only.</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Signed agreement before work starts</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Agreed.</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Briefing meeting before commencement</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Agreed. Included in discovery.</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Subcontracting disclosure</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Agreed. None planned; if needed, ABAI approves first.</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Proposal validity &amp; non-selection</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Agreed. Valid 60 days; submission does not guarantee award.</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GDPR &amp; DPA</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Agreed. Riseup Asia signs ABAI's DPA before development starts and is responsible for the technical controls (consent, storage, transport, access). Legal interpretation of GDPR obligations remains ABAI's solicitor's responsibility.</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 Cancellation / rejection without reasons</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Respectfully not agreed as written.</w:t>
            </w:r>
            <w:r>
              <w:rPr>
                <w:rFonts w:ascii="Nunito" w:cs="Nunito" w:eastAsia="Nunito" w:hAnsi="Nunito"/>
                <w:sz w:val="22"/>
                <w:szCs w:val="22"/>
              </w:rPr>
              <w:t xml:space="preserve"> See reasoning below for a fair, professional replacement clause.</w:t>
            </w:r>
          </w:p>
        </w:tc>
      </w:tr>
    </w:tbl>
    <w:p>
      <w:pPr>
        <w:spacing w:after="90" w:before="0"/>
      </w:pPr>
    </w:p>
    <w:p>
      <w:pPr>
        <w:spacing w:after="90" w:before="0"/>
      </w:pPr>
      <w:r>
        <w:rPr>
          <w:rFonts w:ascii="Nunito" w:cs="Nunito" w:eastAsia="Nunito" w:hAnsi="Nunito"/>
          <w:b/>
          <w:bCs/>
          <w:sz w:val="22"/>
          <w:szCs w:val="22"/>
        </w:rPr>
        <w:t xml:space="preserve">Reasoning - on the cancellation / rejection clause.</w:t>
      </w:r>
    </w:p>
    <w:p>
      <w:pPr>
        <w:spacing w:after="90" w:before="0"/>
      </w:pPr>
      <w:r>
        <w:rPr>
          <w:rFonts w:ascii="Nunito" w:cs="Nunito" w:eastAsia="Nunito" w:hAnsi="Nunito"/>
          <w:sz w:val="22"/>
          <w:szCs w:val="22"/>
        </w:rPr>
        <w:t xml:space="preserve">The original RFP reserves ABAI's right to "reject any or all proposals without providing reasons" and, by extension, to cancel an agreement at any time. As a delivery partner committing senior engineering hours, plugin licences, and a fixed price below market, </w:t>
      </w:r>
      <w:r>
        <w:rPr>
          <w:rFonts w:ascii="Nunito" w:cs="Nunito" w:eastAsia="Nunito" w:hAnsi="Nunito"/>
          <w:b/>
          <w:bCs/>
          <w:sz w:val="22"/>
          <w:szCs w:val="22"/>
        </w:rPr>
        <w:t xml:space="preserve">Riseup Asia cannot accept an open-ended right of cancellation or silent rejection.</w:t>
      </w:r>
      <w:r>
        <w:rPr>
          <w:rFonts w:ascii="Nunito" w:cs="Nunito" w:eastAsia="Nunito" w:hAnsi="Nunito"/>
          <w:sz w:val="22"/>
          <w:szCs w:val="22"/>
        </w:rPr>
        <w:t xml:space="preserve"> A construction firm, a law firm, or a hospital supplier would say the same: once work has started against a signed scope, both sides need predictability.</w:t>
      </w:r>
    </w:p>
    <w:p>
      <w:pPr>
        <w:spacing w:after="90" w:before="0"/>
      </w:pPr>
      <w:r>
        <w:rPr>
          <w:rFonts w:ascii="Nunito" w:cs="Nunito" w:eastAsia="Nunito" w:hAnsi="Nunito"/>
          <w:sz w:val="22"/>
          <w:szCs w:val="22"/>
        </w:rPr>
        <w:t xml:space="preserve">&gt; </w:t>
      </w:r>
      <w:r>
        <w:rPr>
          <w:rFonts w:ascii="Nunito" w:cs="Nunito" w:eastAsia="Nunito" w:hAnsi="Nunito"/>
          <w:i/>
          <w:iCs/>
          <w:sz w:val="22"/>
          <w:szCs w:val="22"/>
        </w:rPr>
        <w:t xml:space="preserve">"ABAI reserves the right to reject any or all proposals at the selection stage; reasons for rejection will be communicated to the bidder in writing within a reasonable period. Once an agreement is signed, either party may terminate only for documented cause (non-performance, breach, or insolvency), with written notice and payment for work completed up to the termination date."</w:t>
      </w:r>
    </w:p>
    <w:p>
      <w:pPr>
        <w:spacing w:after="90" w:before="0"/>
      </w:pPr>
      <w:r>
        <w:rPr>
          <w:rFonts w:ascii="Nunito" w:cs="Nunito" w:eastAsia="Nunito" w:hAnsi="Nunito"/>
          <w:sz w:val="22"/>
          <w:szCs w:val="22"/>
        </w:rPr>
        <w:t xml:space="preserve">This keeps ABAI's discretion fully intact at the selection stage, keeps the process fair and professional, and protects both sides during delivery.</w:t>
      </w:r>
    </w:p>
    <w:p>
      <w:pPr>
        <w:pStyle w:val="Heading2"/>
        <w:keepNext/>
        <w:keepLines/>
        <w:spacing w:after="100" w:before="220"/>
      </w:pPr>
      <w:r>
        <w:t xml:space="preserve">8. Before We Start</w:t>
      </w:r>
    </w:p>
    <w:p>
      <w:pPr>
        <w:spacing w:after="90" w:before="0"/>
      </w:pPr>
      <w:r>
        <w:rPr>
          <w:rFonts w:ascii="Nunito" w:cs="Nunito" w:eastAsia="Nunito" w:hAnsi="Nunito"/>
          <w:sz w:val="22"/>
          <w:szCs w:val="22"/>
        </w:rPr>
        <w:t xml:space="preserve">A handful of questions we need ABAI to answer in the discovery call so we can lock the build plan in week 1:</w:t>
      </w:r>
    </w:p>
    <w:p>
      <w:pPr>
        <w:pStyle w:val="ListParagraph"/>
        <w:numPr>
          <w:ilvl w:val="0"/>
          <w:numId w:val="3"/>
        </w:numPr>
        <w:spacing w:after="40" w:before="0"/>
      </w:pPr>
      <w:r>
        <w:rPr>
          <w:rFonts w:ascii="Nunito" w:cs="Nunito" w:eastAsia="Nunito" w:hAnsi="Nunito"/>
          <w:b/>
          <w:bCs/>
          <w:sz w:val="22"/>
          <w:szCs w:val="22"/>
        </w:rPr>
        <w:t xml:space="preserve">Membership tiers</w:t>
      </w:r>
      <w:r>
        <w:rPr>
          <w:rFonts w:ascii="Nunito" w:cs="Nunito" w:eastAsia="Nunito" w:hAnsi="Nunito"/>
          <w:sz w:val="22"/>
          <w:szCs w:val="22"/>
        </w:rPr>
        <w:t xml:space="preserve"> - how many tiers, and what is the annual fee for each?</w:t>
      </w:r>
    </w:p>
    <w:p>
      <w:pPr>
        <w:pStyle w:val="ListParagraph"/>
        <w:numPr>
          <w:ilvl w:val="0"/>
          <w:numId w:val="3"/>
        </w:numPr>
        <w:spacing w:after="40" w:before="0"/>
      </w:pPr>
      <w:r>
        <w:rPr>
          <w:rFonts w:ascii="Nunito" w:cs="Nunito" w:eastAsia="Nunito" w:hAnsi="Nunito"/>
          <w:b/>
          <w:bCs/>
          <w:sz w:val="22"/>
          <w:szCs w:val="22"/>
        </w:rPr>
        <w:t xml:space="preserve">Honorary upgrade</w:t>
      </w:r>
      <w:r>
        <w:rPr>
          <w:rFonts w:ascii="Nunito" w:cs="Nunito" w:eastAsia="Nunito" w:hAnsi="Nunito"/>
          <w:sz w:val="22"/>
          <w:szCs w:val="22"/>
        </w:rPr>
        <w:t xml:space="preserve"> - what donation threshold qualifies, and is it one-time or cumulative?</w:t>
      </w:r>
    </w:p>
    <w:p>
      <w:pPr>
        <w:pStyle w:val="ListParagraph"/>
        <w:numPr>
          <w:ilvl w:val="0"/>
          <w:numId w:val="3"/>
        </w:numPr>
        <w:spacing w:after="40" w:before="0"/>
      </w:pPr>
      <w:r>
        <w:rPr>
          <w:rFonts w:ascii="Nunito" w:cs="Nunito" w:eastAsia="Nunito" w:hAnsi="Nunito"/>
          <w:b/>
          <w:bCs/>
          <w:sz w:val="22"/>
          <w:szCs w:val="22"/>
        </w:rPr>
        <w:t xml:space="preserve">Education delivery</w:t>
      </w:r>
      <w:r>
        <w:rPr>
          <w:rFonts w:ascii="Nunito" w:cs="Nunito" w:eastAsia="Nunito" w:hAnsi="Nunito"/>
          <w:sz w:val="22"/>
          <w:szCs w:val="22"/>
        </w:rPr>
        <w:t xml:space="preserve"> - Zoom/Meet embeds for live classes, or a fuller LMS module later?</w:t>
      </w:r>
    </w:p>
    <w:p>
      <w:pPr>
        <w:pStyle w:val="ListParagraph"/>
        <w:numPr>
          <w:ilvl w:val="0"/>
          <w:numId w:val="3"/>
        </w:numPr>
        <w:spacing w:after="40" w:before="0"/>
      </w:pPr>
      <w:r>
        <w:rPr>
          <w:rFonts w:ascii="Nunito" w:cs="Nunito" w:eastAsia="Nunito" w:hAnsi="Nunito"/>
          <w:b/>
          <w:bCs/>
          <w:sz w:val="22"/>
          <w:szCs w:val="22"/>
        </w:rPr>
        <w:t xml:space="preserve">Jobs posting fee</w:t>
      </w:r>
      <w:r>
        <w:rPr>
          <w:rFonts w:ascii="Nunito" w:cs="Nunito" w:eastAsia="Nunito" w:hAnsi="Nunito"/>
          <w:sz w:val="22"/>
          <w:szCs w:val="22"/>
        </w:rPr>
        <w:t xml:space="preserve"> - what does ABAI want to charge employers per moderated post?</w:t>
      </w:r>
    </w:p>
    <w:p>
      <w:pPr>
        <w:pStyle w:val="ListParagraph"/>
        <w:numPr>
          <w:ilvl w:val="0"/>
          <w:numId w:val="3"/>
        </w:numPr>
        <w:spacing w:after="40" w:before="0"/>
      </w:pPr>
      <w:r>
        <w:rPr>
          <w:rFonts w:ascii="Nunito" w:cs="Nunito" w:eastAsia="Nunito" w:hAnsi="Nunito"/>
          <w:b/>
          <w:bCs/>
          <w:sz w:val="22"/>
          <w:szCs w:val="22"/>
        </w:rPr>
        <w:t xml:space="preserve">Domain &amp; hosting</w:t>
      </w:r>
      <w:r>
        <w:rPr>
          <w:rFonts w:ascii="Nunito" w:cs="Nunito" w:eastAsia="Nunito" w:hAnsi="Nunito"/>
          <w:sz w:val="22"/>
          <w:szCs w:val="22"/>
        </w:rPr>
        <w:t xml:space="preserve"> - does ABAI already own </w:t>
      </w:r>
      <w:r>
        <w:rPr>
          <w:rFonts w:ascii="Courier New" w:cs="Courier New" w:eastAsia="Courier New" w:hAnsi="Courier New"/>
          <w:sz w:val="22"/>
          <w:szCs w:val="22"/>
        </w:rPr>
        <w:t xml:space="preserve">abai.ie</w:t>
      </w:r>
      <w:r>
        <w:rPr>
          <w:rFonts w:ascii="Nunito" w:cs="Nunito" w:eastAsia="Nunito" w:hAnsi="Nunito"/>
          <w:sz w:val="22"/>
          <w:szCs w:val="22"/>
        </w:rPr>
        <w:t xml:space="preserve">, and do you want the bundled 3-year hosting line or your own provider?</w:t>
      </w:r>
    </w:p>
    <w:p>
      <w:pPr>
        <w:pStyle w:val="ListParagraph"/>
        <w:numPr>
          <w:ilvl w:val="0"/>
          <w:numId w:val="3"/>
        </w:numPr>
        <w:spacing w:after="40" w:before="0"/>
      </w:pPr>
      <w:r>
        <w:rPr>
          <w:rFonts w:ascii="Nunito" w:cs="Nunito" w:eastAsia="Nunito" w:hAnsi="Nunito"/>
          <w:b/>
          <w:bCs/>
          <w:sz w:val="22"/>
          <w:szCs w:val="22"/>
        </w:rPr>
        <w:t xml:space="preserve">DPA signatory</w:t>
      </w:r>
      <w:r>
        <w:rPr>
          <w:rFonts w:ascii="Nunito" w:cs="Nunito" w:eastAsia="Nunito" w:hAnsi="Nunito"/>
          <w:sz w:val="22"/>
          <w:szCs w:val="22"/>
        </w:rPr>
        <w:t xml:space="preserve"> - who at ABAI signs the Data Processing Agreement?</w:t>
      </w:r>
    </w:p>
    <w:p>
      <w:pPr>
        <w:pStyle w:val="Heading2"/>
        <w:keepNext/>
        <w:keepLines/>
        <w:spacing w:after="100" w:before="220"/>
      </w:pPr>
      <w:r>
        <w:t xml:space="preserve">9. Next Steps</w:t>
      </w:r>
    </w:p>
    <w:p>
      <w:pPr>
        <w:spacing w:after="90" w:before="0"/>
      </w:pPr>
      <w:r>
        <w:rPr>
          <w:rFonts w:ascii="Nunito" w:cs="Nunito" w:eastAsia="Nunito" w:hAnsi="Nunito"/>
          <w:sz w:val="22"/>
          <w:szCs w:val="22"/>
        </w:rPr>
        <w:t xml:space="preserve">If this proposal reflects what ABAI is looking for, the next step is a 30-minute alignment call to confirm scope, tier structure, and the discovery start date. We can sign the agreement and start the same week.</w:t>
      </w:r>
    </w:p>
    <w:p>
      <w:pPr>
        <w:spacing w:after="90" w:before="0"/>
      </w:pPr>
      <w:r>
        <w:rPr>
          <w:rFonts w:ascii="Nunito" w:cs="Nunito" w:eastAsia="Nunito" w:hAnsi="Nunito"/>
          <w:b/>
          <w:bCs/>
          <w:sz w:val="22"/>
          <w:szCs w:val="22"/>
        </w:rPr>
        <w:t xml:space="preserve">Questions or anything unclear?</w:t>
      </w:r>
      <w:r>
        <w:rPr>
          <w:rFonts w:ascii="Nunito" w:cs="Nunito" w:eastAsia="Nunito" w:hAnsi="Nunito"/>
          <w:sz w:val="22"/>
          <w:szCs w:val="22"/>
        </w:rPr>
        <w:t xml:space="preserve"> If any line in this proposal is confusing, ambiguous, or you simply want it explained in plainer terms, please ask. We would rather walk the committee through a clarification call than have any clause read two ways. No question is too small.</w:t>
      </w:r>
    </w:p>
    <w:p>
      <w:pPr>
        <w:pStyle w:val="ListParagraph"/>
        <w:numPr>
          <w:ilvl w:val="0"/>
          <w:numId w:val="2"/>
        </w:numPr>
        <w:spacing w:after="40" w:before="0"/>
      </w:pPr>
      <w:r>
        <w:rPr>
          <w:rFonts w:ascii="Nunito" w:cs="Nunito" w:eastAsia="Nunito" w:hAnsi="Nunito"/>
          <w:b/>
          <w:bCs/>
          <w:sz w:val="22"/>
          <w:szCs w:val="22"/>
        </w:rPr>
        <w:t xml:space="preserve">Schedule a call:</w:t>
      </w:r>
      <w:r>
        <w:rPr>
          <w:rFonts w:ascii="Nunito" w:cs="Nunito" w:eastAsia="Nunito" w:hAnsi="Nunito"/>
          <w:sz w:val="22"/>
          <w:szCs w:val="22"/>
        </w:rPr>
        <w:t xml:space="preserve"> https://meet.rasia.pro/intro-call</w:t>
      </w:r>
    </w:p>
    <w:p>
      <w:pPr>
        <w:pStyle w:val="ListParagraph"/>
        <w:numPr>
          <w:ilvl w:val="0"/>
          <w:numId w:val="2"/>
        </w:numPr>
        <w:spacing w:after="40" w:before="0"/>
      </w:pPr>
      <w:r>
        <w:rPr>
          <w:rFonts w:ascii="Nunito" w:cs="Nunito" w:eastAsia="Nunito" w:hAnsi="Nunito"/>
          <w:b/>
          <w:bCs/>
          <w:sz w:val="22"/>
          <w:szCs w:val="22"/>
        </w:rPr>
        <w:t xml:space="preserve">Email:</w:t>
      </w:r>
      <w:r>
        <w:rPr>
          <w:rFonts w:ascii="Nunito" w:cs="Nunito" w:eastAsia="Nunito" w:hAnsi="Nunito"/>
          <w:sz w:val="22"/>
          <w:szCs w:val="22"/>
        </w:rPr>
        <w:t xml:space="preserve"> info@riseup-asia.com</w:t>
      </w:r>
    </w:p>
    <w:p>
      <w:pPr>
        <w:pStyle w:val="ListParagraph"/>
        <w:numPr>
          <w:ilvl w:val="0"/>
          <w:numId w:val="2"/>
        </w:numPr>
        <w:spacing w:after="40" w:before="0"/>
      </w:pPr>
      <w:r>
        <w:rPr>
          <w:rFonts w:ascii="Nunito" w:cs="Nunito" w:eastAsia="Nunito" w:hAnsi="Nunito"/>
          <w:b/>
          <w:bCs/>
          <w:sz w:val="22"/>
          <w:szCs w:val="22"/>
        </w:rPr>
        <w:t xml:space="preserve">Validity:</w:t>
      </w:r>
      <w:r>
        <w:rPr>
          <w:rFonts w:ascii="Nunito" w:cs="Nunito" w:eastAsia="Nunito" w:hAnsi="Nunito"/>
          <w:sz w:val="22"/>
          <w:szCs w:val="22"/>
        </w:rPr>
        <w:t xml:space="preserve"> 60 days from the submission date</w:t>
      </w:r>
    </w:p>
    <w:p>
      <w:pPr>
        <w:spacing w:after="90" w:before="0"/>
      </w:pPr>
      <w:r>
        <w:rPr>
          <w:rFonts w:ascii="Nunito" w:cs="Nunito" w:eastAsia="Nunito" w:hAnsi="Nunito"/>
          <w:sz w:val="22"/>
          <w:szCs w:val="22"/>
        </w:rPr>
        <w:t xml:space="preserve">Thank you for considering Riseup Asia LLC for this build.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2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8026"/>
      <w:gridCol w:w="1000"/>
    </w:tblGrid>
    <w:tr>
      <w:tc>
        <w:tcPr>
          <w:tcW w:type="dxa" w:w="8026"/>
          <w:tcBorders>
            <w:top w:val="none" w:color="FFFFFF" w:sz="0"/>
            <w:left w:val="none" w:color="FFFFFF" w:sz="0"/>
            <w:bottom w:val="none" w:color="FFFFFF" w:sz="0"/>
            <w:right w:val="none" w:color="FFFFFF" w:sz="0"/>
          </w:tcBorders>
          <w:tcMar>
            <w:top w:type="dxa" w:w="0"/>
            <w:left w:type="dxa" w:w="0"/>
            <w:bottom w:type="dxa" w:w="0"/>
            <w:right w:type="dxa" w:w="0"/>
          </w:tcMar>
          <w:vAlign w:val="top"/>
        </w:tcPr>
        <w:p>
          <w:pPr>
            <w:spacing w:after="0" w:before="0"/>
            <w:jc w:val="left"/>
          </w:pPr>
          <w:r>
            <w:rPr>
              <w:rFonts w:ascii="Nunito" w:cs="Nunito" w:eastAsia="Nunito" w:hAnsi="Nunito"/>
              <w:color w:val="A6A6A6"/>
              <w:sz w:val="16"/>
              <w:szCs w:val="16"/>
            </w:rPr>
            <w:t xml:space="preserve">© 2026 - </w:t>
          </w:r>
          <w:hyperlink w:history="1" r:id="rIdojiqjtfcwyfkk1aajnns0">
            <w:r>
              <w:rPr>
                <w:rFonts w:ascii="Nunito" w:cs="Nunito" w:eastAsia="Nunito" w:hAnsi="Nunito"/>
                <w:color w:val="6FA8DC"/>
                <w:sz w:val="16"/>
                <w:szCs w:val="16"/>
                <w:u w:val="single"/>
              </w:rPr>
              <w:t xml:space="preserve">riseup-asia.com</w:t>
            </w:r>
          </w:hyperlink>
          <w:r>
            <w:rPr>
              <w:rFonts w:ascii="Nunito" w:cs="Nunito" w:eastAsia="Nunito" w:hAnsi="Nunito"/>
              <w:color w:val="A6A6A6"/>
              <w:sz w:val="16"/>
              <w:szCs w:val="16"/>
            </w:rPr>
            <w:t xml:space="preserve">. All rights reserved</w:t>
          </w:r>
        </w:p>
        <w:p>
          <w:pPr>
            <w:spacing w:after="0" w:before="0"/>
            <w:jc w:val="left"/>
          </w:pPr>
          <w:r>
            <w:rPr>
              <w:rFonts w:ascii="Nunito" w:cs="Nunito" w:eastAsia="Nunito" w:hAnsi="Nunito"/>
              <w:color w:val="A6A6A6"/>
              <w:sz w:val="16"/>
              <w:szCs w:val="16"/>
            </w:rPr>
            <w:t xml:space="preserve">30 N Gould St, STE R, Sheridan, Wyoming 82801, United States</w:t>
          </w:r>
        </w:p>
      </w:tc>
      <w:tc>
        <w:tcPr>
          <w:tcW w:type="dxa" w:w="100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jc w:val="right"/>
          </w:pPr>
          <w:r>
            <w:rPr>
              <w:rFonts w:ascii="Nunito" w:cs="Nunito" w:eastAsia="Nunito" w:hAnsi="Nunito"/>
              <w:color w:val="A6A6A6"/>
              <w:sz w:val="16"/>
              <w:szCs w:val="16"/>
            </w:rPr>
            <w:t xml:space="preserve">Page </w:t>
          </w:r>
          <w:r>
            <w:rPr>
              <w:rFonts w:ascii="Nunito" w:cs="Nunito" w:eastAsia="Nunito" w:hAnsi="Nunito"/>
              <w:color w:val="A6A6A6"/>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5596"/>
      <w:gridCol w:w="3430"/>
    </w:tblGrid>
    <w:tr>
      <w:tc>
        <w:tcPr>
          <w:tcW w:type="dxa" w:w="5596"/>
          <w:tcBorders>
            <w:top w:val="none" w:color="FFFFFF" w:sz="0"/>
            <w:left w:val="none" w:color="FFFFFF" w:sz="0"/>
            <w:bottom w:val="single" w:color="000000" w:sz="18"/>
            <w:right w:val="none" w:color="FFFFFF" w:sz="0"/>
          </w:tcBorders>
          <w:tcMar>
            <w:top w:type="dxa" w:w="60"/>
            <w:left w:type="dxa" w:w="0"/>
            <w:bottom w:type="dxa" w:w="60"/>
            <w:right w:type="dxa" w:w="60"/>
          </w:tcMar>
        </w:tcPr>
        <w:p>
          <w:pPr>
            <w:spacing w:after="0" w:before="0"/>
          </w:pPr>
        </w:p>
      </w:tc>
      <w:tc>
        <w:tcPr>
          <w:tcW w:type="dxa" w:w="3430"/>
          <w:tcBorders>
            <w:top w:val="none" w:color="FFFFFF" w:sz="0"/>
            <w:left w:val="none" w:color="FFFFFF" w:sz="0"/>
            <w:bottom w:val="single" w:color="FF9900" w:sz="18"/>
            <w:right w:val="none" w:color="FFFFFF" w:sz="0"/>
          </w:tcBorders>
          <w:tcMar>
            <w:top w:type="dxa" w:w="60"/>
            <w:left w:type="dxa" w:w="60"/>
            <w:bottom w:type="dxa" w:w="60"/>
            <w:right w:type="dxa" w:w="0"/>
          </w:tcMar>
        </w:tcPr>
        <w:p>
          <w:pPr>
            <w:spacing w:after="0" w:before="0"/>
            <w:jc w:val="right"/>
          </w:pPr>
          <w:r>
            <w:drawing>
              <wp:inline distT="0" distB="0" distL="0" distR="0">
                <wp:extent cx="1047750" cy="314325"/>
                <wp:effectExtent t="0" r="0" b="0" l="0"/>
                <wp:docPr id="1" name="riseup-logo" descr="Riseup Asia logo" title="Riseup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47750" cy="314325"/>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unito" w:cs="Nunito" w:eastAsia="Nunito" w:hAnsi="Nunito"/>
        <w:color w:val="35374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line="360" w:lineRule="auto"/>
      <w:outlineLvl w:val="0"/>
    </w:pPr>
    <w:rPr>
      <w:rFonts w:ascii="Ubuntu" w:cs="Ubuntu" w:eastAsia="Ubuntu" w:hAnsi="Ubuntu"/>
      <w:b/>
      <w:bCs/>
      <w:color w:val="000000"/>
      <w:sz w:val="34"/>
      <w:szCs w:val="34"/>
    </w:rPr>
  </w:style>
  <w:style w:type="paragraph" w:styleId="Heading2">
    <w:name w:val="Heading 2"/>
    <w:basedOn w:val="Normal"/>
    <w:next w:val="Normal"/>
    <w:qFormat/>
    <w:pPr>
      <w:spacing w:after="110" w:before="220" w:line="300" w:lineRule="auto"/>
      <w:outlineLvl w:val="1"/>
    </w:pPr>
    <w:rPr>
      <w:rFonts w:ascii="Ubuntu" w:cs="Ubuntu" w:eastAsia="Ubuntu" w:hAnsi="Ubuntu"/>
      <w:b/>
      <w:bCs/>
      <w:color w:val="000000"/>
      <w:sz w:val="30"/>
      <w:szCs w:val="30"/>
    </w:rPr>
  </w:style>
  <w:style w:type="paragraph" w:styleId="Heading3">
    <w:name w:val="Heading 3"/>
    <w:basedOn w:val="Normal"/>
    <w:next w:val="Normal"/>
    <w:qFormat/>
    <w:pPr>
      <w:spacing w:after="90" w:before="180"/>
      <w:outlineLvl w:val="2"/>
    </w:pPr>
    <w:rPr>
      <w:rFonts w:ascii="Ubuntu" w:cs="Ubuntu" w:eastAsia="Ubuntu" w:hAnsi="Ubuntu"/>
      <w:b/>
      <w:bCs/>
      <w:color w:val="000000"/>
      <w:sz w:val="26"/>
      <w:szCs w:val="26"/>
    </w:rPr>
  </w:style>
  <w:style w:type="paragraph" w:styleId="Heading4">
    <w:name w:val="Heading 4"/>
    <w:basedOn w:val="Normal"/>
    <w:next w:val="Normal"/>
    <w:qFormat/>
    <w:pPr>
      <w:spacing w:after="70" w:before="140"/>
      <w:outlineLvl w:val="3"/>
    </w:pPr>
    <w:rPr>
      <w:rFonts w:ascii="Ubuntu" w:cs="Ubuntu" w:eastAsia="Ubuntu" w:hAnsi="Ubuntu"/>
      <w:b/>
      <w:bCs/>
      <w:color w:val="000000"/>
      <w:sz w:val="24"/>
      <w:szCs w:val="24"/>
    </w:rPr>
  </w:style>
  <w:style w:type="paragraph" w:styleId="Heading5">
    <w:name w:val="Heading 5"/>
    <w:basedOn w:val="Normal"/>
    <w:next w:val="Normal"/>
    <w:qFormat/>
    <w:pPr>
      <w:spacing w:after="50" w:before="100"/>
      <w:outlineLvl w:val="4"/>
    </w:pPr>
    <w:rPr>
      <w:rFonts w:ascii="Nunito" w:cs="Nunito" w:eastAsia="Nunito" w:hAnsi="Nunito"/>
      <w:color w:val="666666"/>
      <w:sz w:val="22"/>
      <w:szCs w:val="22"/>
    </w:rPr>
  </w:style>
  <w:style w:type="paragraph" w:styleId="Heading6">
    <w:name w:val="Heading 6"/>
    <w:basedOn w:val="Normal"/>
    <w:next w:val="Normal"/>
    <w:qFormat/>
    <w:pPr>
      <w:spacing w:after="50" w:before="100"/>
      <w:outlineLvl w:val="5"/>
    </w:pPr>
    <w:rPr>
      <w:rFonts w:ascii="Nunito" w:cs="Nunito" w:eastAsia="Nunito" w:hAnsi="Nunito"/>
      <w:color w:val="66666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ojiqjtfcwyfkk1aajnns0" Type="http://schemas.openxmlformats.org/officeDocument/2006/relationships/hyperlink" Target="https://riseup-asia.com"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24154cee88fb3f2d41a7bce1a080253b1448d2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Riseup Asia</dc:creator>
  <cp:lastModifiedBy>Un-named</cp:lastModifiedBy>
  <cp:revision>1</cp:revision>
  <dcterms:created xsi:type="dcterms:W3CDTF">2026-06-24T18:31:19.419Z</dcterms:created>
  <dcterms:modified xsi:type="dcterms:W3CDTF">2026-06-24T18:31:19.419Z</dcterms:modified>
</cp:coreProperties>
</file>

<file path=docProps/custom.xml><?xml version="1.0" encoding="utf-8"?>
<Properties xmlns="http://schemas.openxmlformats.org/officeDocument/2006/custom-properties" xmlns:vt="http://schemas.openxmlformats.org/officeDocument/2006/docPropsVTypes"/>
</file>